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CE" w:rsidRPr="00A876CE" w:rsidRDefault="00A876CE" w:rsidP="00A876CE">
      <w:pPr>
        <w:pStyle w:val="Listaszerbekezds"/>
        <w:numPr>
          <w:ilvl w:val="0"/>
          <w:numId w:val="18"/>
        </w:num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</w:pPr>
      <w:bookmarkStart w:id="0" w:name="_GoBack"/>
      <w:bookmarkEnd w:id="0"/>
      <w:r w:rsidRPr="00A876CE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  <w:t>Alkotmány- és törvényellenes korlátozások</w:t>
      </w:r>
    </w:p>
    <w:p w:rsidR="00A876CE" w:rsidRPr="00A876CE" w:rsidRDefault="00A876CE" w:rsidP="00A876CE">
      <w:pPr>
        <w:pStyle w:val="Listaszerbekezds"/>
        <w:shd w:val="clear" w:color="auto" w:fill="FFFFFF"/>
        <w:spacing w:after="0" w:line="240" w:lineRule="auto"/>
        <w:ind w:left="1080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</w:pPr>
    </w:p>
    <w:p w:rsidR="00A876CE" w:rsidRPr="00A876CE" w:rsidRDefault="00A876CE" w:rsidP="00A876CE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  <w:t>1. Véleménynyilvánítás súlyos és jogellenes korlátozása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3.3. pont: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„tartózkodnia kell a kamarai szervezet és a Kamara érdekeinek lejáratásától… döntéseinek nyilvánosság előtt történő támadásától… fegyelmi vétség”</w:t>
      </w:r>
    </w:p>
    <w:p w:rsidR="00A876CE" w:rsidRDefault="00A876CE" w:rsidP="00A876CE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  <w:t>Jogsértés:</w:t>
      </w:r>
    </w:p>
    <w:p w:rsidR="00A876CE" w:rsidRPr="00A876CE" w:rsidRDefault="00A876CE" w:rsidP="00A876CE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Ez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közvetlenül sérti az Alaptörvény IX. cikkét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 (véleménynyilvánítás szabadsága).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b/>
          <w:bCs/>
          <w:i/>
          <w:color w:val="242424"/>
          <w:sz w:val="23"/>
          <w:szCs w:val="23"/>
          <w:lang w:eastAsia="hu-HU"/>
        </w:rPr>
        <w:t>Jogellenes, mert:</w:t>
      </w:r>
    </w:p>
    <w:p w:rsidR="00A876CE" w:rsidRPr="00A876CE" w:rsidRDefault="00A876CE" w:rsidP="00A876C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 köztestület (Kamara)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közhatalmi funkciót lát el</w:t>
      </w:r>
    </w:p>
    <w:p w:rsidR="00A876CE" w:rsidRPr="00A876CE" w:rsidRDefault="00A876CE" w:rsidP="00A876C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 köztestület döntései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közérdekűek</w:t>
      </w:r>
    </w:p>
    <w:p w:rsidR="00A876CE" w:rsidRPr="00A876CE" w:rsidRDefault="00A876CE" w:rsidP="00A876C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Azokat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kritizálni alkotmányos jog</w:t>
      </w:r>
    </w:p>
    <w:p w:rsidR="00A876CE" w:rsidRPr="00A876CE" w:rsidRDefault="00A876CE" w:rsidP="00A876C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 kritika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nem azonos lejáratással</w:t>
      </w:r>
    </w:p>
    <w:p w:rsidR="00A876CE" w:rsidRPr="00A876CE" w:rsidRDefault="00A876CE" w:rsidP="00A876C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Etikai kódex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nem írhatja felül az Alaptörvényt</w:t>
      </w:r>
    </w:p>
    <w:p w:rsidR="00A876CE" w:rsidRPr="00A876CE" w:rsidRDefault="00A876CE" w:rsidP="00A876CE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  <w:t>2. „Bomlasztás” mint fegyelmi vétség – jogállami szempontból értelmezhetetlen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5.2. pont: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„bomlasztási tevékenység… fegyelmi vétség”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 xml:space="preserve"> A „bomlasztás”:</w:t>
      </w:r>
    </w:p>
    <w:p w:rsidR="00A876CE" w:rsidRPr="00A876CE" w:rsidRDefault="00A876CE" w:rsidP="00A876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nem jogi fogalom</w:t>
      </w:r>
    </w:p>
    <w:p w:rsidR="00A876CE" w:rsidRPr="00A876CE" w:rsidRDefault="00A876CE" w:rsidP="00A876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szubjektíven értelmezhető</w:t>
      </w:r>
    </w:p>
    <w:p w:rsidR="00A876CE" w:rsidRPr="00A876CE" w:rsidRDefault="00A876CE" w:rsidP="00A876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korlátlan mérlegelési jogot ad a vezetésnek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➡️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Súlyosan sérti a jogbiztonság elvét (Alaptörvény B) cikk).</w:t>
      </w:r>
    </w:p>
    <w:p w:rsidR="00A876CE" w:rsidRPr="00A876CE" w:rsidRDefault="00A876CE" w:rsidP="00A87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76CE" w:rsidRPr="00A876CE" w:rsidRDefault="00A876CE" w:rsidP="00A876CE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  <w:t>3. </w:t>
      </w:r>
      <w:r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  <w:t>Kötelező lojalitás előírása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5.3. pont: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„Vezető tisztségviselő… a közös döntést köteles képviselni”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Ez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ellentétes:</w:t>
      </w:r>
    </w:p>
    <w:p w:rsidR="00A876CE" w:rsidRPr="00A876CE" w:rsidRDefault="00A876CE" w:rsidP="00A876C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 lelkiismereti szabadsággal</w:t>
      </w:r>
    </w:p>
    <w:p w:rsidR="00A876CE" w:rsidRPr="00A876CE" w:rsidRDefault="00A876CE" w:rsidP="00A876C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az egyesülési joggal</w:t>
      </w:r>
    </w:p>
    <w:p w:rsidR="00A876CE" w:rsidRPr="00A876CE" w:rsidRDefault="00A876CE" w:rsidP="00A876C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 vezetők személyes felelősségével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➡️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 xml:space="preserve"> Jogilag egy tisztségviselő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nem köteles olyan döntést nyilvánosan képviselni, amellyel nem ért egyet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, legfeljebb a döntést végrehajtani köteles.</w:t>
      </w:r>
    </w:p>
    <w:p w:rsidR="00A876CE" w:rsidRPr="00A876CE" w:rsidRDefault="00A876CE" w:rsidP="00A87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76CE" w:rsidRPr="00A876CE" w:rsidRDefault="00A876CE" w:rsidP="00A876CE">
      <w:pPr>
        <w:pStyle w:val="Listaszerbekezds"/>
        <w:numPr>
          <w:ilvl w:val="0"/>
          <w:numId w:val="18"/>
        </w:num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  <w:t>Eljárásjogi súlyos törvénytelenségek</w:t>
      </w:r>
    </w:p>
    <w:p w:rsidR="00A876CE" w:rsidRPr="00A876CE" w:rsidRDefault="00A876CE" w:rsidP="00A876CE">
      <w:pPr>
        <w:pStyle w:val="Listaszerbekezds"/>
        <w:shd w:val="clear" w:color="auto" w:fill="FFFFFF"/>
        <w:spacing w:after="0" w:line="240" w:lineRule="auto"/>
        <w:ind w:left="1080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</w:pPr>
    </w:p>
    <w:p w:rsidR="00A876CE" w:rsidRPr="00A876CE" w:rsidRDefault="00A876CE" w:rsidP="00A876CE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  <w:t>4. Eljárás indítása „hivatalból” konkrét jogalap nélkül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3.1.3. és 3.5. pont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 Kamara:</w:t>
      </w:r>
    </w:p>
    <w:p w:rsidR="00A876CE" w:rsidRPr="00A876CE" w:rsidRDefault="00A876CE" w:rsidP="00A876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nem nyomozó hatóság</w:t>
      </w:r>
    </w:p>
    <w:p w:rsidR="00A876CE" w:rsidRPr="00A876CE" w:rsidRDefault="00A876CE" w:rsidP="00A876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 xml:space="preserve">nincs törvényi felhatalmazása széles </w:t>
      </w:r>
      <w:proofErr w:type="spellStart"/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hivatalbóli</w:t>
      </w:r>
      <w:proofErr w:type="spellEnd"/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 xml:space="preserve"> eljárásindításra bizonyítási küszöb nélkül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lastRenderedPageBreak/>
        <w:t>➡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Ez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ellentétes az NMNK törvény és az általános közigazgatási jog elvével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.</w:t>
      </w:r>
    </w:p>
    <w:p w:rsidR="00A876CE" w:rsidRPr="00A876CE" w:rsidRDefault="00A876CE" w:rsidP="00A87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76CE" w:rsidRPr="00A876CE" w:rsidRDefault="00A876CE" w:rsidP="00A876CE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  <w:t>5. Kézbesítési vélelem visszaélésszerű kiterjesztése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IV/3. pont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„nem kereste”, „elköltözött” esetén is kézbesítettnek kell tekinteni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 xml:space="preserve"> Ez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súlyosan sérti:</w:t>
      </w:r>
    </w:p>
    <w:p w:rsidR="00A876CE" w:rsidRPr="00A876CE" w:rsidRDefault="00A876CE" w:rsidP="00A876C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 tisztességes eljáráshoz való jogot</w:t>
      </w:r>
    </w:p>
    <w:p w:rsidR="00A876CE" w:rsidRPr="00A876CE" w:rsidRDefault="00A876CE" w:rsidP="00A876C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 védelemhez való jogot</w:t>
      </w:r>
    </w:p>
    <w:p w:rsidR="00A876CE" w:rsidRPr="00A876CE" w:rsidRDefault="00A876CE" w:rsidP="00A876C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az EJEB gyakorlatát</w:t>
      </w:r>
    </w:p>
    <w:p w:rsidR="00A876CE" w:rsidRPr="00A876CE" w:rsidRDefault="00103C81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➡</w:t>
      </w:r>
      <w:r w:rsidR="00A876CE"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Valós bírósági eljárásban </w:t>
      </w:r>
      <w:r w:rsidR="00A876CE"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megbukna</w:t>
      </w:r>
      <w:r w:rsidR="00A876CE"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.</w:t>
      </w:r>
    </w:p>
    <w:p w:rsidR="00A876CE" w:rsidRPr="00A876CE" w:rsidRDefault="00A876CE" w:rsidP="00A87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76CE" w:rsidRPr="00A876CE" w:rsidRDefault="00A876CE" w:rsidP="00A876CE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  <w:t>6. Másodfokon NINCS valódi tárgyalási kötelezettség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4.14. (6) pont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„elsősorban okiratok alapján határoz”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Ez:</w:t>
      </w:r>
    </w:p>
    <w:p w:rsidR="00A876CE" w:rsidRPr="00A876CE" w:rsidRDefault="00A876CE" w:rsidP="00A876C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sérti a </w:t>
      </w:r>
      <w:proofErr w:type="spellStart"/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kontradiktórius</w:t>
      </w:r>
      <w:proofErr w:type="spellEnd"/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 xml:space="preserve"> eljárás elvét</w:t>
      </w:r>
    </w:p>
    <w:p w:rsidR="00A876CE" w:rsidRPr="00A876CE" w:rsidRDefault="00A876CE" w:rsidP="00A876C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sérti az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egyenlő fegyverek elvét</w:t>
      </w:r>
    </w:p>
    <w:p w:rsidR="00A876CE" w:rsidRPr="00A876CE" w:rsidRDefault="00A876CE" w:rsidP="00A876C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sérti az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EJEB 6. cikkét</w:t>
      </w:r>
    </w:p>
    <w:p w:rsidR="00A876CE" w:rsidRPr="00A876CE" w:rsidRDefault="00A876CE" w:rsidP="00A87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76CE" w:rsidRPr="00A876CE" w:rsidRDefault="00A876CE" w:rsidP="00A876CE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  <w:t>7. Kizárás fegyelmi eljárás nélkül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4.12. (5) pont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„fegyelmi eljárás lefolytatása nélkül határoz”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Ez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súlyosan jogellenes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, mert:</w:t>
      </w:r>
    </w:p>
    <w:p w:rsidR="00A876CE" w:rsidRPr="00A876CE" w:rsidRDefault="00A876CE" w:rsidP="00A876C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 tagság köztestületi jogviszony</w:t>
      </w:r>
    </w:p>
    <w:p w:rsidR="00A876CE" w:rsidRPr="00A876CE" w:rsidRDefault="00A876CE" w:rsidP="00A876C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annak megszüntetése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kizárólag eljárásban történhet</w:t>
      </w:r>
    </w:p>
    <w:p w:rsidR="00A876CE" w:rsidRPr="00A876CE" w:rsidRDefault="00A876CE" w:rsidP="00A876C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másként sérül a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tisztességes eljárás joga</w:t>
      </w:r>
    </w:p>
    <w:p w:rsidR="00A876CE" w:rsidRPr="00A876CE" w:rsidRDefault="00103C81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➡</w:t>
      </w:r>
      <w:r w:rsidR="00A876CE"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Ez az egyik </w:t>
      </w:r>
      <w:r w:rsidR="00A876CE"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legsúlyosabb törvényességi hiba</w:t>
      </w:r>
      <w:r w:rsidR="00A876CE"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.</w:t>
      </w:r>
    </w:p>
    <w:p w:rsidR="00A876CE" w:rsidRPr="00A876CE" w:rsidRDefault="00A876CE" w:rsidP="00A87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76CE" w:rsidRPr="00103C81" w:rsidRDefault="00A876CE" w:rsidP="00103C81">
      <w:pPr>
        <w:pStyle w:val="Listaszerbekezds"/>
        <w:numPr>
          <w:ilvl w:val="0"/>
          <w:numId w:val="18"/>
        </w:num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</w:pPr>
      <w:r w:rsidRPr="00103C81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  <w:t>Belső logikai és hatásköri ellentmondások</w:t>
      </w:r>
    </w:p>
    <w:p w:rsidR="00103C81" w:rsidRPr="00103C81" w:rsidRDefault="00103C81" w:rsidP="00103C81">
      <w:pPr>
        <w:pStyle w:val="Listaszerbekezds"/>
        <w:shd w:val="clear" w:color="auto" w:fill="FFFFFF"/>
        <w:spacing w:after="0" w:line="240" w:lineRule="auto"/>
        <w:ind w:left="1080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</w:pPr>
    </w:p>
    <w:p w:rsidR="00A876CE" w:rsidRPr="00A876CE" w:rsidRDefault="00A876CE" w:rsidP="00A876CE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  <w:t>8. Ki hozza a határozatot? – döntési jogkör keverése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4.12. (3) pont: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„a titkár… határozatot hoz”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Miközben:</w:t>
      </w:r>
    </w:p>
    <w:p w:rsidR="00A876CE" w:rsidRPr="00A876CE" w:rsidRDefault="00A876CE" w:rsidP="00A876C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 döntést a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bizottság hozza</w:t>
      </w:r>
    </w:p>
    <w:p w:rsidR="00A876CE" w:rsidRPr="00A876CE" w:rsidRDefault="00A876CE" w:rsidP="00A876C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 titkár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nem hatóság</w:t>
      </w:r>
    </w:p>
    <w:p w:rsidR="00A876CE" w:rsidRPr="00A876CE" w:rsidRDefault="00103C81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➡</w:t>
      </w:r>
      <w:r w:rsidR="00A876CE"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Jogkör-összemosás, hatásköri zavar</w:t>
      </w:r>
      <w:r w:rsidR="00A876CE"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 – érvénytelenné teheti a határozatot.</w:t>
      </w:r>
    </w:p>
    <w:p w:rsidR="00A876CE" w:rsidRPr="00A876CE" w:rsidRDefault="00A876CE" w:rsidP="00A87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76CE" w:rsidRPr="00A876CE" w:rsidRDefault="00A876CE" w:rsidP="00A876CE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  <w:t>9. Jogorvoslati paradoxon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4.14. (5) pont: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„Elmarasztaló határozattal szemben kizárólag az eljárás alá vont személy fellebbezhet”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Ez sérti:</w:t>
      </w:r>
    </w:p>
    <w:p w:rsidR="00A876CE" w:rsidRPr="00A876CE" w:rsidRDefault="00A876CE" w:rsidP="00A876C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 panaszos jogorvoslathoz való jogát</w:t>
      </w:r>
    </w:p>
    <w:p w:rsidR="00A876CE" w:rsidRPr="00A876CE" w:rsidRDefault="00A876CE" w:rsidP="00A876C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 közigazgatási eljárás alapelveit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lastRenderedPageBreak/>
        <w:t>➡️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 xml:space="preserve"> Egyoldalú jogorvoslati rendszer,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nem kiegyenlített eljárás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.</w:t>
      </w:r>
    </w:p>
    <w:p w:rsidR="00A876CE" w:rsidRPr="00A876CE" w:rsidRDefault="00A876CE" w:rsidP="00A87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76CE" w:rsidRPr="00A876CE" w:rsidRDefault="00A876CE" w:rsidP="00A876CE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  <w:t>10. Ügyintézési határidők egymásnak ellentmondanak</w:t>
      </w:r>
    </w:p>
    <w:p w:rsidR="00A876CE" w:rsidRPr="00A876CE" w:rsidRDefault="00A876CE" w:rsidP="00A876C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4.1 → 15 nap</w:t>
      </w:r>
    </w:p>
    <w:p w:rsidR="00A876CE" w:rsidRPr="00A876CE" w:rsidRDefault="00A876CE" w:rsidP="00A876C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4.3 → 30 nap (+30)</w:t>
      </w:r>
    </w:p>
    <w:p w:rsidR="00A876CE" w:rsidRPr="00A876CE" w:rsidRDefault="00A876CE" w:rsidP="00A876C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3.7 → 6 hónap / 1 év</w:t>
      </w:r>
    </w:p>
    <w:p w:rsidR="00A876CE" w:rsidRPr="00A876CE" w:rsidRDefault="00A876CE" w:rsidP="00A876C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IV/2 → nyári és téli „eljárási szünet”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Ezek együtt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nem koherensek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, nem világos:</w:t>
      </w:r>
    </w:p>
    <w:p w:rsidR="00A876CE" w:rsidRPr="00A876CE" w:rsidRDefault="00A876CE" w:rsidP="00A876C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melyik határidő elsőbbségi</w:t>
      </w:r>
    </w:p>
    <w:p w:rsidR="00A876CE" w:rsidRPr="00A876CE" w:rsidRDefault="00A876CE" w:rsidP="00A876C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mikor évül el ténylegesen az ügy</w:t>
      </w:r>
    </w:p>
    <w:p w:rsidR="00A876CE" w:rsidRPr="00A876CE" w:rsidRDefault="00103C81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➡</w:t>
      </w:r>
      <w:r w:rsidR="00A876CE"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 xml:space="preserve"> Jogbizonytalanság.</w:t>
      </w:r>
    </w:p>
    <w:p w:rsidR="00A876CE" w:rsidRPr="00A876CE" w:rsidRDefault="00A876CE" w:rsidP="00A87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76CE" w:rsidRPr="00103C81" w:rsidRDefault="00A876CE" w:rsidP="00103C81">
      <w:pPr>
        <w:pStyle w:val="Listaszerbekezds"/>
        <w:numPr>
          <w:ilvl w:val="0"/>
          <w:numId w:val="18"/>
        </w:num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</w:pPr>
      <w:r w:rsidRPr="00103C81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  <w:t>Gazdasági jogot sértő részek</w:t>
      </w:r>
    </w:p>
    <w:p w:rsidR="00103C81" w:rsidRPr="00103C81" w:rsidRDefault="00103C81" w:rsidP="00103C81">
      <w:pPr>
        <w:pStyle w:val="Listaszerbekezds"/>
        <w:shd w:val="clear" w:color="auto" w:fill="FFFFFF"/>
        <w:spacing w:after="0" w:line="240" w:lineRule="auto"/>
        <w:ind w:left="1080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</w:pPr>
    </w:p>
    <w:p w:rsidR="00A876CE" w:rsidRPr="00A876CE" w:rsidRDefault="00A876CE" w:rsidP="00A876CE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  <w:t>11. Kötelező díjtétel előírása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6.3. pont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„díjtétel javaslat figyelembevétele kötelező”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br/>
        <w:t>„díjmentes szakirányítás nem végezhető”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 xml:space="preserve"> Ez sérti:</w:t>
      </w:r>
    </w:p>
    <w:p w:rsidR="00A876CE" w:rsidRPr="00A876CE" w:rsidRDefault="00A876CE" w:rsidP="00A876C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szabad árképzést</w:t>
      </w:r>
    </w:p>
    <w:p w:rsidR="00A876CE" w:rsidRPr="00A876CE" w:rsidRDefault="00A876CE" w:rsidP="00A876C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vállalkozás szabadságát</w:t>
      </w:r>
    </w:p>
    <w:p w:rsidR="00A876CE" w:rsidRPr="00A876CE" w:rsidRDefault="00A876CE" w:rsidP="00A876C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versenyjogot (Tpvt.)</w:t>
      </w:r>
    </w:p>
    <w:p w:rsidR="00A876CE" w:rsidRPr="00A876CE" w:rsidRDefault="00103C81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➡</w:t>
      </w:r>
      <w:r w:rsidR="00A876CE"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Ez </w:t>
      </w:r>
      <w:r w:rsidR="00A876CE"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versenykorlátozó megállapítás</w:t>
      </w:r>
      <w:r w:rsidR="00A876CE"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, amely </w:t>
      </w:r>
      <w:r w:rsidR="00A876CE"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GVH-eljárást alapozhat meg</w:t>
      </w:r>
      <w:r w:rsidR="00A876CE"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.</w:t>
      </w:r>
    </w:p>
    <w:p w:rsidR="00A876CE" w:rsidRPr="00A876CE" w:rsidRDefault="00A876CE" w:rsidP="00A87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76CE" w:rsidRPr="00103C81" w:rsidRDefault="00A876CE" w:rsidP="00103C81">
      <w:pPr>
        <w:pStyle w:val="Listaszerbekezds"/>
        <w:numPr>
          <w:ilvl w:val="0"/>
          <w:numId w:val="18"/>
        </w:num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</w:pPr>
      <w:r w:rsidRPr="00103C81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  <w:t>Nem jogszabályszerű bizonyítás</w:t>
      </w:r>
    </w:p>
    <w:p w:rsidR="00103C81" w:rsidRPr="00103C81" w:rsidRDefault="00103C81" w:rsidP="00103C81">
      <w:pPr>
        <w:pStyle w:val="Listaszerbekezds"/>
        <w:shd w:val="clear" w:color="auto" w:fill="FFFFFF"/>
        <w:spacing w:after="0" w:line="240" w:lineRule="auto"/>
        <w:ind w:left="1080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</w:pPr>
    </w:p>
    <w:p w:rsidR="00A876CE" w:rsidRPr="00A876CE" w:rsidRDefault="00A876CE" w:rsidP="00A876CE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  <w:t>12. Hangfelvétel kötelező készítése minden meghallgatásról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4.10. b)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Ez:</w:t>
      </w:r>
    </w:p>
    <w:p w:rsidR="00A876CE" w:rsidRPr="00A876CE" w:rsidRDefault="00A876CE" w:rsidP="00A876C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sérti a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GDPR adattakarékosság elvét</w:t>
      </w:r>
    </w:p>
    <w:p w:rsidR="00A876CE" w:rsidRPr="00A876CE" w:rsidRDefault="00A876CE" w:rsidP="00A876C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nincs meghatározva a tárolás ideje</w:t>
      </w:r>
    </w:p>
    <w:p w:rsidR="00A876CE" w:rsidRPr="00A876CE" w:rsidRDefault="00A876CE" w:rsidP="00A876C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nincs jogalap pontosan meghatározva</w:t>
      </w:r>
    </w:p>
    <w:p w:rsidR="00A876CE" w:rsidRPr="00A876CE" w:rsidRDefault="00103C81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➡</w:t>
      </w:r>
      <w:r w:rsidR="00A876CE"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Súlyos adatvédelmi kockázat.</w:t>
      </w:r>
    </w:p>
    <w:p w:rsidR="00A876CE" w:rsidRPr="00A876CE" w:rsidRDefault="00A876CE" w:rsidP="00A87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76CE" w:rsidRPr="00103C81" w:rsidRDefault="00A876CE" w:rsidP="00103C81">
      <w:pPr>
        <w:pStyle w:val="Listaszerbekezds"/>
        <w:numPr>
          <w:ilvl w:val="0"/>
          <w:numId w:val="18"/>
        </w:num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</w:pPr>
      <w:r w:rsidRPr="00103C81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  <w:t>Etikai szabályzat túllépi saját hatáskörét</w:t>
      </w:r>
    </w:p>
    <w:p w:rsidR="00103C81" w:rsidRPr="00103C81" w:rsidRDefault="00103C81" w:rsidP="00103C81">
      <w:pPr>
        <w:pStyle w:val="Listaszerbekezds"/>
        <w:shd w:val="clear" w:color="auto" w:fill="FFFFFF"/>
        <w:spacing w:after="0" w:line="240" w:lineRule="auto"/>
        <w:ind w:left="1080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</w:pPr>
    </w:p>
    <w:p w:rsidR="00A876CE" w:rsidRPr="00A876CE" w:rsidRDefault="00A876CE" w:rsidP="00A876CE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hu-HU"/>
        </w:rPr>
        <w:t>13. Hatósági jellegű kötelezettségek előírása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Több pontban:</w:t>
      </w:r>
    </w:p>
    <w:p w:rsidR="00A876CE" w:rsidRPr="00A876CE" w:rsidRDefault="00A876CE" w:rsidP="00A876C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járványkezelés</w:t>
      </w:r>
    </w:p>
    <w:p w:rsidR="00A876CE" w:rsidRPr="00A876CE" w:rsidRDefault="00A876CE" w:rsidP="00A876C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zárlati kötelezettségek</w:t>
      </w:r>
    </w:p>
    <w:p w:rsidR="00A876CE" w:rsidRPr="00A876CE" w:rsidRDefault="00A876CE" w:rsidP="00A876C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adatszolgáltatás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➡️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 xml:space="preserve"> Ezek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nem etikai kérdések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, hanem:</w:t>
      </w:r>
    </w:p>
    <w:p w:rsidR="00A876CE" w:rsidRPr="00A876CE" w:rsidRDefault="00A876CE" w:rsidP="00A876C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lastRenderedPageBreak/>
        <w:t>közigazgatási hatósági jogkör</w:t>
      </w:r>
    </w:p>
    <w:p w:rsidR="00A876CE" w:rsidRPr="00A876CE" w:rsidRDefault="00A876CE" w:rsidP="00A876C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amelyet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etikai kódex nem terjeszthet ki</w:t>
      </w:r>
    </w:p>
    <w:p w:rsidR="00A876CE" w:rsidRPr="00A876CE" w:rsidRDefault="00A876CE" w:rsidP="00A87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76CE" w:rsidRPr="00A876CE" w:rsidRDefault="00A876CE" w:rsidP="00A876CE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  <w:t>VII. Felelősség egyetemessé tétele – vezetők kollektív büntetése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5.1. pont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„mindenki osztozik a döntések következményeiben”</w:t>
      </w:r>
    </w:p>
    <w:p w:rsidR="00A876CE" w:rsidRPr="00A876CE" w:rsidRDefault="00A876CE" w:rsidP="00A876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 xml:space="preserve"> Ez:</w:t>
      </w:r>
    </w:p>
    <w:p w:rsidR="00A876CE" w:rsidRPr="00A876CE" w:rsidRDefault="00A876CE" w:rsidP="00A876C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sérti a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személyes felelősség elvét</w:t>
      </w:r>
    </w:p>
    <w:p w:rsidR="00A876CE" w:rsidRPr="00A876CE" w:rsidRDefault="00A876CE" w:rsidP="00A876C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kollektív felelősséget vezet be</w:t>
      </w:r>
    </w:p>
    <w:p w:rsidR="00A876CE" w:rsidRPr="00A876CE" w:rsidRDefault="00A876CE" w:rsidP="00A876C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ellentétes a magyar jogrendszerrel</w:t>
      </w:r>
    </w:p>
    <w:p w:rsidR="00A876CE" w:rsidRPr="00A876CE" w:rsidRDefault="00A876CE" w:rsidP="00A87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76CE" w:rsidRDefault="00A876CE" w:rsidP="00A876CE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</w:pPr>
      <w:r w:rsidRPr="00A876CE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  <w:t>ÖSSZEFOGLALÓ – LEGSÚLYOSABB JOGSÉRTÉSEK (rövid lista)</w:t>
      </w:r>
    </w:p>
    <w:p w:rsidR="00103C81" w:rsidRPr="00A876CE" w:rsidRDefault="00103C81" w:rsidP="00A876CE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hu-HU"/>
        </w:rPr>
      </w:pPr>
    </w:p>
    <w:p w:rsidR="00A876CE" w:rsidRPr="00A876CE" w:rsidRDefault="00A876CE" w:rsidP="00A876C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❗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Nyilvános kritika tiltása – Alaptörvény-ellenes</w:t>
      </w:r>
    </w:p>
    <w:p w:rsidR="00A876CE" w:rsidRPr="00A876CE" w:rsidRDefault="00A876CE" w:rsidP="00A876C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❗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„Bomlasztás” mint fegyelmi vétség – jogállami szempontból értelmezhetetlen</w:t>
      </w:r>
    </w:p>
    <w:p w:rsidR="00A876CE" w:rsidRPr="00A876CE" w:rsidRDefault="00A876CE" w:rsidP="00A876C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❗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Kizárás fegyelmi eljárás nélkül – súlyos jogsértés</w:t>
      </w:r>
    </w:p>
    <w:p w:rsidR="00A876CE" w:rsidRPr="00A876CE" w:rsidRDefault="00A876CE" w:rsidP="00A876C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❗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Versenykorlátozó díjtétel-előírás</w:t>
      </w:r>
    </w:p>
    <w:p w:rsidR="00A876CE" w:rsidRPr="00A876CE" w:rsidRDefault="00A876CE" w:rsidP="00A876C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❗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Tisztességes eljáráshoz való jog sérelme (kézbesítés, másodfok)</w:t>
      </w:r>
    </w:p>
    <w:p w:rsidR="00A876CE" w:rsidRPr="00A876CE" w:rsidRDefault="00A876CE" w:rsidP="00A876C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❗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Kollektív felelősség előírása</w:t>
      </w:r>
    </w:p>
    <w:p w:rsidR="00A876CE" w:rsidRPr="00A876CE" w:rsidRDefault="00A876CE" w:rsidP="00A876C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❗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Etikai kódex hatáskörének túllépése</w:t>
      </w:r>
    </w:p>
    <w:p w:rsidR="00A876CE" w:rsidRPr="00A876CE" w:rsidRDefault="00A876CE" w:rsidP="00A876C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</w:pPr>
      <w:r w:rsidRPr="00A876CE">
        <w:rPr>
          <w:rFonts w:ascii="Segoe UI Symbol" w:eastAsia="Times New Roman" w:hAnsi="Segoe UI Symbol" w:cs="Segoe UI Symbol"/>
          <w:color w:val="242424"/>
          <w:sz w:val="23"/>
          <w:szCs w:val="23"/>
          <w:lang w:eastAsia="hu-HU"/>
        </w:rPr>
        <w:t>❗</w:t>
      </w:r>
      <w:r w:rsidRPr="00A876CE">
        <w:rPr>
          <w:rFonts w:ascii="Segoe UI" w:eastAsia="Times New Roman" w:hAnsi="Segoe UI" w:cs="Segoe UI"/>
          <w:color w:val="242424"/>
          <w:sz w:val="23"/>
          <w:szCs w:val="23"/>
          <w:lang w:eastAsia="hu-HU"/>
        </w:rPr>
        <w:t> </w:t>
      </w:r>
      <w:r w:rsidRPr="00A876CE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hu-HU"/>
        </w:rPr>
        <w:t>Adatvédelmi jogsértések a kötelező hangfelvétellel</w:t>
      </w:r>
    </w:p>
    <w:p w:rsidR="00D21395" w:rsidRDefault="00D21395" w:rsidP="00A876CE">
      <w:pPr>
        <w:spacing w:after="0"/>
      </w:pPr>
    </w:p>
    <w:sectPr w:rsidR="00D2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1C74"/>
    <w:multiLevelType w:val="multilevel"/>
    <w:tmpl w:val="8BF0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65E2D"/>
    <w:multiLevelType w:val="multilevel"/>
    <w:tmpl w:val="5DCA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73F31"/>
    <w:multiLevelType w:val="multilevel"/>
    <w:tmpl w:val="E7D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F1980"/>
    <w:multiLevelType w:val="multilevel"/>
    <w:tmpl w:val="0122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4657DA"/>
    <w:multiLevelType w:val="multilevel"/>
    <w:tmpl w:val="3928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15069"/>
    <w:multiLevelType w:val="hybridMultilevel"/>
    <w:tmpl w:val="A41408E0"/>
    <w:lvl w:ilvl="0" w:tplc="2EA6F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36394"/>
    <w:multiLevelType w:val="multilevel"/>
    <w:tmpl w:val="E4A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64FAF"/>
    <w:multiLevelType w:val="multilevel"/>
    <w:tmpl w:val="60B4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E14B4"/>
    <w:multiLevelType w:val="multilevel"/>
    <w:tmpl w:val="D330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E042C"/>
    <w:multiLevelType w:val="multilevel"/>
    <w:tmpl w:val="9934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017D3"/>
    <w:multiLevelType w:val="multilevel"/>
    <w:tmpl w:val="57C8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E45998"/>
    <w:multiLevelType w:val="multilevel"/>
    <w:tmpl w:val="D3C8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31E10"/>
    <w:multiLevelType w:val="multilevel"/>
    <w:tmpl w:val="2638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80C9C"/>
    <w:multiLevelType w:val="multilevel"/>
    <w:tmpl w:val="B87E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37889"/>
    <w:multiLevelType w:val="multilevel"/>
    <w:tmpl w:val="0176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D73CC"/>
    <w:multiLevelType w:val="multilevel"/>
    <w:tmpl w:val="5F44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4E4D01"/>
    <w:multiLevelType w:val="multilevel"/>
    <w:tmpl w:val="C37C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E0555"/>
    <w:multiLevelType w:val="multilevel"/>
    <w:tmpl w:val="7AAE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14"/>
  </w:num>
  <w:num w:numId="10">
    <w:abstractNumId w:val="16"/>
  </w:num>
  <w:num w:numId="11">
    <w:abstractNumId w:val="15"/>
  </w:num>
  <w:num w:numId="12">
    <w:abstractNumId w:val="6"/>
  </w:num>
  <w:num w:numId="13">
    <w:abstractNumId w:val="2"/>
  </w:num>
  <w:num w:numId="14">
    <w:abstractNumId w:val="8"/>
  </w:num>
  <w:num w:numId="15">
    <w:abstractNumId w:val="1"/>
  </w:num>
  <w:num w:numId="16">
    <w:abstractNumId w:val="1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CE"/>
    <w:rsid w:val="00103C81"/>
    <w:rsid w:val="00A07490"/>
    <w:rsid w:val="00A876CE"/>
    <w:rsid w:val="00D2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C07BC-867D-4974-A874-0F9EEB0D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 Both</dc:creator>
  <cp:keywords/>
  <dc:description/>
  <cp:lastModifiedBy>Gyula Both</cp:lastModifiedBy>
  <cp:revision>2</cp:revision>
  <dcterms:created xsi:type="dcterms:W3CDTF">2026-01-06T11:17:00Z</dcterms:created>
  <dcterms:modified xsi:type="dcterms:W3CDTF">2026-01-06T11:17:00Z</dcterms:modified>
</cp:coreProperties>
</file>